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10.xml" ContentType="application/vnd.openxmlformats-officedocument.drawingml.chart+xml"/>
  <Override PartName="/word/charts/chart9.xml" ContentType="application/vnd.openxmlformats-officedocument.drawingml.chart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240" w:lineRule="auto"/>
        <w:shd w:val="clear" w:color="auto" w:fill="ffffff"/>
        <w:rPr>
          <w:rFonts w:ascii="PT Astra Serif" w:hAnsi="PT Astra Serif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0"/>
          <w:szCs w:val="20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0"/>
          <w:szCs w:val="20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Анализ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состояния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детского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дорожно-транспортного травматизма в Свердловской области и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на обслуживаемой территории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за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3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месяц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а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 2025 года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Times New Roman"/>
          <w:b/>
          <w:i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b/>
          <w:i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i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i/>
          <w:sz w:val="26"/>
          <w:szCs w:val="26"/>
          <w:lang w:eastAsia="ru-RU"/>
        </w:rPr>
      </w:r>
    </w:p>
    <w:p>
      <w:pPr>
        <w:ind w:left="-709" w:right="-1" w:firstLine="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 территории Свердловской области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з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 3 месяца 2025 г. зарегистрировано 46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  <w:t xml:space="preserve">(45; 2,2%) ДТП с участием несовершеннолетних, в которых 53 (55; -3,6%) ребенка получили травмы различной степени тяжести.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right="-1" w:firstLine="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Дорожно-транспортные происшествия, в результате которых пострадали дети, составили 11% от общего количества учетных дорожных аварий. Таким образом, дети стали участниками каждого 9 ДТП с пострадавшими в регионе.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12 муниципальных образованиях Свердловской области отме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чается рост аварийности с участием несовершеннолетних. На 100% увеличилось количество ДТП в Каменск-Уральском (3 ДТП), Североуральске и Сысерти (по 2 ДТП), Артемовском, Байкалово, Камышлове, Нижних Сергах, Полевском, Пышме, Туринске и Качканаре (по 1 ДТП).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28% (15) пострадавших в ДТП детей приходится на дошкольный возраст, 34% (18) на начальную школу и 38% (20) на среднее школьное звено, при этом большая часть пострадали в качестве пассажиров транспортных средств.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3028950" cy="1885950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3019425" cy="1857375"/>
            <wp:effectExtent l="0" t="0" r="9525" b="9525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 причине нарушения ПДД РФ водителями транспортных средств количество ДТП снизилось на 14,6% (35), количество раненых в них детей на 17,6% (42).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142"/>
        <w:jc w:val="center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6120765" cy="1413510"/>
            <wp:effectExtent l="0" t="0" r="13335" b="1524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142"/>
        <w:jc w:val="center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63% ДТП (31) произошли при ясной погоде и 33% (15) при неблагоп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6120765" cy="1799674"/>
            <wp:effectExtent l="0" t="0" r="13335" b="1016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Все происшествия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 участием несовершеннолетних произошли в период с 00 ч. 00 мин. до 22 ч. 00 мин. (46 ДТП, 53 ранены), при этом пик происшествий пришелся на период с 09 ч. 00 мин. до 12 ч. 00 мин. (9 ДТП, 11 ранены) и с 15 ч. 00 мин. до 18 ч. 00 мин. (13 ДТП, 15 ранены).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/>
        <w:jc w:val="center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6096000" cy="2222204"/>
            <wp:effectExtent l="0" t="0" r="0" b="6985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br w:type="textWrapping" w:clear="all"/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426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5839460" cy="2583180"/>
            <wp:effectExtent l="0" t="0" r="8890" b="762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 автомобильных доро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гах, расположенных в черте населенных пунктов, зарегистрировано 36 ДТП (+16,1%), в которых пострадал 41 (+28,1%) ребенок. На автомобильных дорогах вне населенных пунктов зарегистрировано 10 ДТП (-28,6%), в результате которых травмированы 12 (-47,8%) детей.</w:t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Из них, на дорогах федерального значения зарегистрировано 4 ДТП (-20%), в которых пострадали 5 детей (уровень АППГ). На автомобильных дорогах регионального значения произошло 13 ДТП (-31,6%), в которых 16 (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-44,8%) детей получили травмы различной степени тяжести. На дорогах местного значения зарегистрировано 23 ДТП (+21,1%), в которых травмированы 26 (+36,8%) детей. На дорогах частного значения зарегистрировано 6 ДТП (+100%), в которых ранены 6 детей (+100%).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284"/>
        <w:jc w:val="both"/>
        <w:spacing w:after="0" w:line="240" w:lineRule="auto"/>
        <w:rPr>
          <w:rFonts w:ascii="PT Astra Serif" w:hAnsi="PT Astra Serif" w:eastAsia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6120765" cy="2466975"/>
            <wp:effectExtent l="0" t="0" r="13335" b="9525"/>
            <wp:docPr id="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br w:type="textWrapping" w:clear="all"/>
      </w:r>
      <w:r>
        <w:rPr>
          <w:rFonts w:ascii="PT Astra Serif" w:hAnsi="PT Astra Serif" w:eastAsia="Times New Roman" w:cs="Times New Roman"/>
          <w:b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По категориям участников дорожного движения показатели распределились следующим образом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tbl>
      <w:tblPr>
        <w:tblStyle w:val="840"/>
        <w:tblW w:w="10348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>
        <w:tblPrEx/>
        <w:trPr/>
        <w:tc>
          <w:tcPr>
            <w:tcW w:w="336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99967" cy="971550"/>
                      <wp:effectExtent l="0" t="0" r="635" b="0"/>
                      <wp:docPr id="8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G-20250208-WA0007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18856" cy="9807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7.48pt;height:76.5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82" w:type="dxa"/>
            <w:textDirection w:val="lrTb"/>
            <w:noWrap w:val="false"/>
          </w:tcPr>
          <w:p>
            <w:pPr>
              <w:ind w:left="28" w:firstLine="567"/>
              <w:jc w:val="both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t xml:space="preserve">С участием </w:t>
            </w:r>
            <w:r>
              <w:rPr>
                <w:rFonts w:ascii="PT Astra Serif" w:hAnsi="PT Astra Serif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детей - пассажиров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t xml:space="preserve"> зарегистрировано 22 (35; -37,1%) ДТП, в которых пострадали 27 (45; -40%) детей. Из них в возрасте до 12 лет травмированы 24 ребенка (29; -17,2%). 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left="312" w:firstLine="283"/>
              <w:jc w:val="both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t xml:space="preserve">Доля ДТП с участием детей - пассажиров от общего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left="-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показателя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аварийности с участием детей составила 48%.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10 (-23,1%)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12 детей.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426"/>
        <w:jc w:val="center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4114800" cy="1285875"/>
            <wp:effectExtent l="0" t="0" r="0" b="9525"/>
            <wp:docPr id="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5 ДТП (5; уровень АППГ) водители перевозили юных пассажиров в возрасте до 12 лет с нарушением правил перевозки детей, в этих авариях травмированы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  <w:t xml:space="preserve">5 детей (8; -37,5%).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(17; -39,3%), количество травмированных в них детей уменьшилось на 44,7% (21).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Устойчивый рост количеств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 ДТП с участием детей-пассажиров зарегистрирован на 200% с 11.00 до 12.00 (3 ДТП, 4 ранены) и на 100% с 10.00 до 11.00 (2 ДТП, 2 ранены). Большинство аварий произошло в понедельник (4 ДТП, 5 ранены), среду (4 ДТП, 4 ранены) и в субботу (4 ДТП, 5 ранены).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tbl>
      <w:tblPr>
        <w:tblStyle w:val="840"/>
        <w:tblW w:w="10343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>
        <w:tblPrEx/>
        <w:trPr>
          <w:trHeight w:val="1892"/>
        </w:trPr>
        <w:tc>
          <w:tcPr>
            <w:tcW w:w="325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ff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95169" cy="1200150"/>
                      <wp:effectExtent l="0" t="0" r="0" b="0"/>
                      <wp:docPr id="10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14255" cy="12122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49.23pt;height:94.5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PT Astra Serif" w:hAnsi="PT Astra Serif" w:eastAsia="Times New Roman" w:cs="Times New Roman"/>
                <w:color w:val="ff0000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748"/>
              <w:jc w:val="both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t xml:space="preserve">С участием</w:t>
            </w:r>
            <w:r>
              <w:rPr>
                <w:rFonts w:ascii="PT Astra Serif" w:hAnsi="PT Astra Serif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детей-пешеходов 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t xml:space="preserve">зарегистрировано 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br/>
              <w:t xml:space="preserve">23 ДТП (10; +130%), в которых пострадали 24 (10; +140%) ребенка. 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48"/>
              <w:jc w:val="both"/>
              <w:rPr>
                <w:rFonts w:ascii="PT Astra Serif" w:hAnsi="PT Astra Serif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  <w:t xml:space="preserve">От общего показателя аварийности с участием несовершеннолетних доля ДТП с участием детей- пешеходов составила 52%.</w:t>
            </w:r>
            <w:r>
              <w:rPr>
                <w:rFonts w:ascii="PT Astra Serif" w:hAnsi="PT Astra Serif" w:eastAsia="Times New Roman" w:cs="Times New Roman"/>
                <w:color w:val="ff0000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ff0000"/>
                <w:sz w:val="28"/>
                <w:szCs w:val="28"/>
                <w:lang w:eastAsia="ru-RU"/>
              </w:rPr>
            </w:r>
          </w:p>
        </w:tc>
      </w:tr>
    </w:tbl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11 ДТП (4; +175%) произошло по причине собственной неосторожности несовершеннолетних пешеходов, в этих авариях пострадали 11 детей (4; +175%). Основными нарушениями ПДД РФ, допущенными юными пешеходами, стали: неподчинен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ие сигналам регулирования -  4 ДТП, переход проезжей части вне пешеходного перехода – 2 ДТП, 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43% наездов на детей (10) совершены на пешеходных переходах. В таких проис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шествиях травмированы 10 детей (+150%). На 100% увеличилось количество ДТП (2) и травмированных в них детей (2),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  <w:r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highlight w:val="yellow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3 ДТП (+200%) произошло в темное время суток, когда на верхней одежде детей отсутствовали световозвращающие элементы.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 возрастным характеристикам, наибольшее количество ДТП произошло с участием детей в возрасте 11-12 лет (4 ДТП, +300%), 12-13 лет (3 ДТП, +200%) и 15 лет (3 ДТП, +200%).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Все наезды произошли в городах и населенных пунктах (+130%).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 дням недели значительный рост ДТП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наблюдается в субботу (5 ДТП, 5 ранены, + 400%) четверг (4 ДТП, 5 ранены, +300%). По времени наибольшее количество дорожных аварий зафиксировано в обеденное и вечернее время, в период с 13 до 14 часов (4 ДТП, 4 ранены) и с 17 до 18 часов (6 ДТП, 7 ранены).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8 случаях (35%) ДТП произошли по маршрутам следования детей из дома в образов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ательную организацию и обратно.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125095</wp:posOffset>
                </wp:positionV>
                <wp:extent cx="1916430" cy="962025"/>
                <wp:effectExtent l="0" t="0" r="7620" b="9525"/>
                <wp:wrapTight wrapText="bothSides">
                  <wp:wrapPolygon edited="1">
                    <wp:start x="0" y="0"/>
                    <wp:lineTo x="0" y="21386"/>
                    <wp:lineTo x="21471" y="21386"/>
                    <wp:lineTo x="21471" y="0"/>
                    <wp:lineTo x="0" y="0"/>
                  </wp:wrapPolygon>
                </wp:wrapTight>
                <wp:docPr id="11" name="Рисунок 12" descr="D:\Кравченко\Анализ ДДТТ\Картинки\мото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Кравченко\Анализ ДДТТ\Картинки\мото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1643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-30.30pt;mso-position-horizontal:absolute;mso-position-vertical-relative:text;margin-top:9.85pt;mso-position-vertical:absolute;width:150.90pt;height:75.75pt;mso-wrap-distance-left:9.00pt;mso-wrap-distance-top:0.00pt;mso-wrap-distance-right:9.00pt;mso-wrap-distance-bottom:0.00pt;" wrapcoords="0 0 0 99009 99403 99009 99403 0 0 0" stroked="f">
                <v:path textboxrect="0,0,0,0"/>
                <w10:wrap type="tight"/>
                <v:imagedata r:id="rId19" o:title=""/>
              </v:shape>
            </w:pict>
          </mc:Fallback>
        </mc:AlternateConten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юного водителя мототранспорта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зарегистрировано 1 ДТП (0; +100%), в результате которого 1 (0; +100%) ребенок травмирован. Права управления мототранспортом подросток не имел, передвигался на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мототехнике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в населенном пункте. Участником ДТП стал ребенок-водитель в возрасте 14 лет.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PT Astra Serif" w:hAnsi="PT Astra Serif" w:eastAsia="Times New Roman" w:cs="Times New Roman"/>
          <w:b/>
          <w:i/>
          <w:sz w:val="28"/>
          <w:szCs w:val="28"/>
          <w:lang w:eastAsia="ru-RU"/>
        </w:rPr>
        <w:t xml:space="preserve">юного велосипедиста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зарегистрировано 1 ДТ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 (0; +100%), в результате которого травмирован 1 ребенок (0; +100%). Во время ДТП 14-летний подросток использовал средства пассивной защиты (шлем, налокотники, наколенники), происшествие произошло по собственной неосторожности несовершеннолетнего (+100%).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5581650" cy="2400300"/>
            <wp:effectExtent l="0" t="0" r="0" b="0"/>
            <wp:docPr id="1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Вина несовершеннолетних усматривается в 8 ДТП из 46 и составляет 17% от общего количества дорожных аварий с участием детей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color w:val="ff0000"/>
          <w:sz w:val="28"/>
          <w:szCs w:val="28"/>
          <w:u w:val="single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u w:val="single"/>
          <w:lang w:eastAsia="ru-RU"/>
        </w:rPr>
      </w:r>
    </w:p>
    <w:p>
      <w:pPr>
        <w:ind w:left="-709"/>
        <w:jc w:val="both"/>
        <w:spacing w:after="0" w:line="240" w:lineRule="auto"/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6496050" cy="2447925"/>
            <wp:effectExtent l="0" t="0" r="0" b="9525"/>
            <wp:docPr id="13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ff0000"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На обслуживаемой территории Госавтоинспекции МО МВД России «Ирбитский» дорожно-транспортных происшествий с участием детей в 2025 году не зарегистрировано. 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ind w:left="-709" w:firstLine="720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Принимая во внимание результаты дифференцированного анализа детского дорожно-транспортного травматизма,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720"/>
        <w:jc w:val="center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center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НЕОБХОДИМО: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1. 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средств, выборе безопасных мест для катания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 СИМ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2. Со взрослыми участниками дорожного движения с привлечением отрядов ЮИД и родительского актива продолжить проведение социально-значимых акций на дорогах местного значения: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водителями транспортных средств - по соблюдению правил проезда регулируемых и нерегулируемых перекрестков, снижению скоростного режима при подъезде к пешеходным пе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пешеходами - об обязательном использовании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световозвращающих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элементов в темное время суток, а также о соблюдении мер и правил безопасности при переходе проезжей части.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PT Astra Serif" w:hAnsi="PT Astra Serif"/>
          <w:sz w:val="28"/>
          <w:szCs w:val="28"/>
        </w:rPr>
        <w:t xml:space="preserve">В  социальных сетях образовательных организаций еженедельно освещать проведение мероприятий и размещать материалы по вопросам обеспечения детской безопасности, роли родителей в воспитании грамотных участников дорожного </w:t>
      </w:r>
      <w:r>
        <w:rPr>
          <w:rFonts w:ascii="PT Astra Serif" w:hAnsi="PT Astra Serif"/>
          <w:sz w:val="28"/>
          <w:szCs w:val="28"/>
        </w:rPr>
        <w:t xml:space="preserve">движения (проведение ежедневных бесед по правилам безопасного перехода проезжей части, использование </w:t>
      </w:r>
      <w:r>
        <w:rPr>
          <w:rFonts w:ascii="PT Astra Serif" w:hAnsi="PT Astra Serif"/>
          <w:sz w:val="28"/>
          <w:szCs w:val="28"/>
        </w:rPr>
        <w:t xml:space="preserve">световозвращающих</w:t>
      </w:r>
      <w:r>
        <w:rPr>
          <w:rFonts w:ascii="PT Astra Serif" w:hAnsi="PT Astra Serif"/>
          <w:sz w:val="28"/>
          <w:szCs w:val="28"/>
        </w:rPr>
        <w:t xml:space="preserve"> элементов в одежде, запрет на использование сотовых телефонов и других отвлекающих внимание устройств во время перехода проезжей части, контроль за досугом детей, использование ремней безопасности и детских удерживающих устройств при перевозке детей, </w:t>
      </w:r>
      <w:r>
        <w:rPr>
          <w:rFonts w:ascii="PT Astra Serif" w:hAnsi="PT Astra Serif"/>
          <w:color w:val="000000"/>
          <w:sz w:val="28"/>
          <w:szCs w:val="28"/>
        </w:rPr>
        <w:t xml:space="preserve">выбор безопасных мест для катания при </w:t>
      </w:r>
      <w:r>
        <w:rPr>
          <w:rFonts w:ascii="PT Astra Serif" w:hAnsi="PT Astra Serif"/>
          <w:sz w:val="28"/>
          <w:szCs w:val="28"/>
        </w:rPr>
        <w:t xml:space="preserve">использовании велосипедов и средств индивидуальной мобильности, </w:t>
      </w:r>
      <w:r>
        <w:rPr>
          <w:rFonts w:ascii="PT Astra Serif" w:hAnsi="PT Astra Serif"/>
          <w:color w:val="000000"/>
          <w:sz w:val="28"/>
          <w:szCs w:val="28"/>
        </w:rPr>
        <w:t xml:space="preserve">запрета на передачу права управления транспортным средством несовершеннолетним</w:t>
      </w:r>
      <w:r>
        <w:rPr>
          <w:rFonts w:ascii="PT Astra Serif" w:hAnsi="PT Astra Serif"/>
          <w:sz w:val="28"/>
          <w:szCs w:val="28"/>
        </w:rPr>
        <w:t xml:space="preserve"> и др.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4. По маршрутам движения детей «дом-школа-дом» продолжить проведение разъяснительной работы с населением о правилах безопас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ного перехода проезжей части, перевозки детей в автомобилях, ответственности за нарушение требований ПДД РФ и возможных последствиях ДТП. Привлекать к проведению мероприятий инспекторов подразделений по делам несовершеннолетних, участковых уполномоченных.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Вопросы детского дорожно-транспортного травматизма рассмотреть на совещаниях при директоре (заведующей) ОО с принятием конкретных решений.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6. Данный анализ состояния ДДТТ разместить на сайтах ОО во вкладке «Дорожная безопас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нос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ть».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Начальник Госавтоинспекции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майор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полиции                                                                            В.О.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Шептяков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-709" w:firstLine="567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PT Astra Serif">
    <w:panose1 w:val="000007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7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blStylePr w:type="band1Horz">
      <w:tcPr>
        <w:shd w:val="clear" w:color="ffffff" w:themeColor="accent1" w:themeTint="75" w:fill="b4d1ec" w:themeFill="accent1" w:themeFillTint="75"/>
      </w:tcPr>
    </w:tblStylePr>
    <w:tblStylePr w:type="band1Vert">
      <w:tcPr>
        <w:shd w:val="clear" w:color="ffffff" w:themeColor="accent1" w:themeTint="75" w:fill="b4d1ec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blStylePr w:type="band1Horz">
      <w:tcPr>
        <w:shd w:val="clear" w:color="ffffff" w:themeColor="accent2" w:themeTint="75" w:fill="f7c3a0" w:themeFill="accent2" w:themeFillTint="75"/>
      </w:tcPr>
    </w:tblStylePr>
    <w:tblStylePr w:type="band1Vert">
      <w:tcPr>
        <w:shd w:val="clear" w:color="ffffff" w:themeColor="accent2" w:themeTint="75" w:fill="f7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blStylePr w:type="band1Horz">
      <w:tcPr>
        <w:shd w:val="clear" w:color="ffffff" w:themeColor="accent4" w:themeTint="75" w:fill="ffe28a" w:themeFill="accent4" w:themeFillTint="75"/>
      </w:tcPr>
    </w:tblStylePr>
    <w:tblStylePr w:type="band1Vert">
      <w:tcPr>
        <w:shd w:val="clear" w:color="ffffff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blStylePr w:type="band1Horz">
      <w:tcPr>
        <w:shd w:val="clear" w:color="ffffff" w:themeColor="accent5" w:themeTint="75" w:fill="a9bee4" w:themeFill="accent5" w:themeFillTint="75"/>
      </w:tcPr>
    </w:tblStylePr>
    <w:tblStylePr w:type="band1Vert">
      <w:tcPr>
        <w:shd w:val="clear" w:color="ffffff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blStylePr w:type="band1Horz">
      <w:tcPr>
        <w:shd w:val="clear" w:color="ffffff" w:themeColor="accent6" w:themeTint="75" w:fill="bddba8" w:themeFill="accent6" w:themeFillTint="75"/>
      </w:tcPr>
    </w:tblStylePr>
    <w:tblStylePr w:type="band1Vert">
      <w:tcPr>
        <w:shd w:val="clear" w:color="ffffff" w:themeColor="accent6" w:themeTint="75" w:fill="bd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tcPr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07abd" w:themeColor="accent1" w:themeTint="80" w:themeShade="95"/>
      </w:rPr>
    </w:tblStylePr>
    <w:tblStylePr w:type="firstRow">
      <w:rPr>
        <w:b/>
        <w:color w:val="307abd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</w:tblStylePr>
    <w:tblStylePr w:type="lastRow">
      <w:rPr>
        <w:b/>
        <w:color w:val="307abd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tcPr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07abd" w:themeColor="accent1" w:themeTint="80" w:themeShade="95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tcPr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275" w:themeColor="accent5" w:themeShade="95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tcPr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16529" w:themeColor="accent6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blStylePr w:type="band1Horz"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blStylePr w:type="band1Horz"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blStylePr w:type="band1Horz"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blStylePr w:type="band1Horz"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ba0" w:themeColor="accent5" w:themeTint="9A" w:themeShade="95"/>
      </w:rPr>
    </w:tblStylePr>
    <w:tblStylePr w:type="firstRow">
      <w:rPr>
        <w:b/>
        <w:color w:val="335b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</w:tblStylePr>
    <w:tblStylePr w:type="lastRow">
      <w:rPr>
        <w:b/>
        <w:color w:val="335b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e923c" w:themeColor="accent6" w:themeTint="98" w:themeShade="95"/>
      </w:rPr>
    </w:tblStylePr>
    <w:tblStylePr w:type="firstRow">
      <w:rPr>
        <w:b/>
        <w:color w:val="5e92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</w:tblStylePr>
    <w:tblStylePr w:type="lastRow">
      <w:rPr>
        <w:b/>
        <w:color w:val="5e92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b8d" w:themeColor="accent1" w:themeShade="95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ba0" w:themeColor="accent5" w:themeTint="9A" w:themeShade="95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e923c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table" w:styleId="839">
    <w:name w:val="Table Grid"/>
    <w:basedOn w:val="83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Сетка таблицы1"/>
    <w:basedOn w:val="835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hart" Target="charts/chart1.xml" /><Relationship Id="rId10" Type="http://schemas.openxmlformats.org/officeDocument/2006/relationships/chart" Target="charts/chart2.xml" /><Relationship Id="rId11" Type="http://schemas.openxmlformats.org/officeDocument/2006/relationships/chart" Target="charts/chart3.xml" /><Relationship Id="rId12" Type="http://schemas.openxmlformats.org/officeDocument/2006/relationships/chart" Target="charts/chart4.xml" /><Relationship Id="rId13" Type="http://schemas.openxmlformats.org/officeDocument/2006/relationships/chart" Target="charts/chart5.xml" /><Relationship Id="rId14" Type="http://schemas.openxmlformats.org/officeDocument/2006/relationships/chart" Target="charts/chart6.xml" /><Relationship Id="rId15" Type="http://schemas.openxmlformats.org/officeDocument/2006/relationships/chart" Target="charts/chart7.xml" /><Relationship Id="rId16" Type="http://schemas.openxmlformats.org/officeDocument/2006/relationships/image" Target="media/image1.jpg"/><Relationship Id="rId17" Type="http://schemas.openxmlformats.org/officeDocument/2006/relationships/chart" Target="charts/chart8.xml" /><Relationship Id="rId18" Type="http://schemas.openxmlformats.org/officeDocument/2006/relationships/image" Target="media/image2.jpg"/><Relationship Id="rId19" Type="http://schemas.openxmlformats.org/officeDocument/2006/relationships/image" Target="media/image3.jpg"/><Relationship Id="rId20" Type="http://schemas.openxmlformats.org/officeDocument/2006/relationships/chart" Target="charts/chart9.xml" /><Relationship Id="rId21" Type="http://schemas.openxmlformats.org/officeDocument/2006/relationships/chart" Target="charts/chart10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.xlsx" /></Relationships>
</file>

<file path=word/charts/_rels/chart10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0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  <a:miter/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27179"/>
                  <c:y val="-0.07566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15</a:t>
                    </a:r>
                    <a:endParaRPr/>
                  </a:p>
                </c:rich>
              </c:tx>
            </c:dLbl>
            <c:dLbl>
              <c:idx val="1"/>
              <c:dLblPos val="bestFit"/>
              <c:layout>
                <c:manualLayout>
                  <c:x val="-0.022752"/>
                  <c:y val="0.03684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105779"/>
                  <c:y val="-0.02674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bestFit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0-6 лет</c:v>
                </c:pt>
                <c:pt idx="1">
                  <c:v xml:space="preserve">7-10 лет</c:v>
                </c:pt>
                <c:pt idx="2">
                  <c:v xml:space="preserve"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20</c:v>
                </c:pt>
              </c:numCache>
            </c:numRef>
          </c:val>
        </c:ser>
        <c:dLbls>
          <c:dLblPos val="bestFit"/>
          <c:showBubbleSize val="0"/>
          <c:showCatName val="0"/>
          <c:showLeaderLines val="1"/>
          <c:showLegendKey val="0"/>
          <c:showPercent val="0"/>
          <c:showSerName val="0"/>
          <c:showVal val="1"/>
        </c:dLbls>
        <c:firstSliceAng val="0"/>
      </c:pieChart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  <a:endParaRPr/>
          </a:p>
          <a:p>
            <a:pPr>
              <a:defRPr>
                <a:solidFill>
                  <a:srgbClr val="FF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  <a:endParaRPr/>
          </a:p>
        </c:rich>
      </c:tx>
      <c:layout>
        <c:manualLayout>
          <c:xMode val="edge"/>
          <c:yMode val="edge"/>
          <c:x val="0.659785"/>
          <c:y val="0.067408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1726"/>
          <c:y val="0.244784"/>
          <c:w val="0.826834"/>
          <c:h val="0.6568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 bwMode="auto">
              <a:prstGeom prst="rect">
                <a:avLst/>
              </a:prstGeom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 bwMode="auto">
              <a:prstGeom prst="rect">
                <a:avLst/>
              </a:prstGeom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 bwMode="auto">
              <a:prstGeom prst="rect">
                <a:avLst/>
              </a:prstGeom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 bwMode="auto">
              <a:prstGeom prst="rect">
                <a:avLst/>
              </a:prstGeom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 bwMode="auto">
              <a:prstGeom prst="rect">
                <a:avLst/>
              </a:prstGeom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 bwMode="auto">
              <a:prstGeom prst="rect">
                <a:avLst/>
              </a:prstGeom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 bwMode="auto">
              <a:prstGeom prst="rect">
                <a:avLst/>
              </a:prstGeom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 bwMode="auto">
              <a:prstGeom prst="rect">
                <a:avLst/>
              </a:prstGeom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 bwMode="auto">
              <a:prstGeom prst="rect">
                <a:avLst/>
              </a:prstGeom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 bwMode="auto">
              <a:prstGeom prst="rect">
                <a:avLst/>
              </a:prstGeom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 bwMode="auto">
              <a:prstGeom prst="rect">
                <a:avLst/>
              </a:prstGeom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 bwMode="auto">
              <a:prstGeom prst="rect">
                <a:avLst/>
              </a:prstGeom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 bwMode="auto">
              <a:prstGeom prst="rect">
                <a:avLst/>
              </a:prstGeom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 bwMode="auto">
              <a:prstGeom prst="rect">
                <a:avLst/>
              </a:prstGeom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 bwMode="auto">
              <a:prstGeom prst="rect">
                <a:avLst/>
              </a:prstGeom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 bwMode="auto">
              <a:prstGeom prst="rect">
                <a:avLst/>
              </a:prstGeom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 bwMode="auto">
              <a:prstGeom prst="rect">
                <a:avLst/>
              </a:prstGeom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6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7"/>
            <c:bubble3D val="0"/>
            <c:spPr bwMode="auto">
              <a:prstGeom prst="rect">
                <a:avLst/>
              </a:prstGeom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8"/>
            <c:bubble3D val="0"/>
            <c:spPr bwMode="auto">
              <a:prstGeom prst="rect">
                <a:avLst/>
              </a:prstGeom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9"/>
            <c:bubble3D val="0"/>
            <c:spPr bwMode="auto">
              <a:prstGeom prst="rect">
                <a:avLst/>
              </a:prstGeom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0"/>
            <c:bubble3D val="0"/>
            <c:spPr bwMode="auto">
              <a:prstGeom prst="rect">
                <a:avLst/>
              </a:prstGeom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87518"/>
                  <c:y val="0.080121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fld id="{E2CE7E8D-253F-46DF-84D7-94B2DB25E9C8}" type="CATEGORYNAME">
                      <a:rPr lang="ru-RU"/>
                      <a:t>CATEGORYNAME</a:t>
                    </a:fld>
                    <a:r>
                      <a:rPr lang="ru-RU"/>
                      <a:t>; 3</a:t>
                    </a:r>
                    <a:endParaRPr/>
                  </a:p>
                </c:rich>
              </c:tx>
              <c:extLst>
                <c:ext uri="{CE6537A1-D6FC-4f65-9D91-7224C49458BB}">
                  <c15:showDataLabelsRange val="0"/>
                </c:ext>
              </c:extLst>
            </c:dLbl>
            <c:dLbl>
              <c:idx val="1"/>
              <c:layout>
                <c:manualLayout>
                  <c:x val="0.281486"/>
                  <c:y val="-0.008329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6"/>
              <c:layout>
                <c:manualLayout>
                  <c:x val="-0.115366"/>
                  <c:y val="0.009958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7"/>
              <c:layout>
                <c:manualLayout>
                  <c:x val="-0.127597"/>
                  <c:y val="-0.02755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8"/>
              <c:layout>
                <c:manualLayout>
                  <c:x val="-0.087724"/>
                  <c:y val="-0.105004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5"/>
              <c:layout>
                <c:manualLayout>
                  <c:x val="-0.149515"/>
                  <c:y val="-0.072508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6"/>
              <c:layout>
                <c:manualLayout>
                  <c:x val="-0.096179"/>
                  <c:y val="-0.082689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7"/>
              <c:layout>
                <c:manualLayout>
                  <c:x val="-0.014491"/>
                  <c:y val="-0.096672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Лист1!$A$2:$A$32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 xml:space="preserve"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 xml:space="preserve"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 xml:space="preserve">Нижние Серги</c:v>
                </c:pt>
                <c:pt idx="15">
                  <c:v>Пышма</c:v>
                </c:pt>
                <c:pt idx="16">
                  <c:v>Сысерть</c:v>
                </c:pt>
                <c:pt idx="17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5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 bwMode="auto">
              <a:prstGeom prst="rect">
                <a:avLst/>
              </a:prstGeom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27179"/>
                  <c:y val="-0.07566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22752"/>
                  <c:y val="0.03684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bestFit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</c:ser>
        <c:dLbls>
          <c:dLblPos val="bestFit"/>
          <c:showBubbleSize val="0"/>
          <c:showCatName val="0"/>
          <c:showLeaderLines val="1"/>
          <c:showLegendKey val="0"/>
          <c:showPercent val="0"/>
          <c:showSerName val="0"/>
          <c:showVal val="1"/>
        </c:dLbls>
        <c:firstSliceAng val="0"/>
      </c:pieChart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 xml:space="preserve"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 xml:space="preserve"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 xml:space="preserve"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219"/>
        <c:overlap val="-27"/>
        <c:axId val="261146032"/>
        <c:axId val="261144072"/>
      </c:barChart>
      <c:catAx>
        <c:axId val="26114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61144072"/>
        <c:crosses val="autoZero"/>
        <c:auto val="1"/>
        <c:lblAlgn val="ctr"/>
        <c:lblOffset val="100"/>
        <c:noMultiLvlLbl val="0"/>
      </c:catAx>
      <c:valAx>
        <c:axId val="26114407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61146032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6"/>
            </a:solidFill>
            <a:ln>
              <a:noFill/>
              <a:miter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Лист1!$A$2:$A$8</c:f>
              <c:strCache>
                <c:ptCount val="7"/>
                <c:pt idx="0">
                  <c:v xml:space="preserve">00 ч. 00 мин. - 07 ч. 00 мин.</c:v>
                </c:pt>
                <c:pt idx="1">
                  <c:v xml:space="preserve">07 ч. 00 мин. - 09 ч. 00 мин.</c:v>
                </c:pt>
                <c:pt idx="2">
                  <c:v xml:space="preserve">09 ч. 00 мин. - 12 ч. 00 мин.</c:v>
                </c:pt>
                <c:pt idx="3">
                  <c:v xml:space="preserve">12 ч. 00 мин. - 15 ч. 00 мин.</c:v>
                </c:pt>
                <c:pt idx="4">
                  <c:v xml:space="preserve">15 ч. 00 мин. - 18 ч. 00 мин.</c:v>
                </c:pt>
                <c:pt idx="5">
                  <c:v xml:space="preserve">18 ч. 00 мин. - 21 ч. 00 мин.</c:v>
                </c:pt>
                <c:pt idx="6">
                  <c:v xml:space="preserve"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Лист1!$A$2:$A$8</c:f>
              <c:strCache>
                <c:ptCount val="7"/>
                <c:pt idx="0">
                  <c:v xml:space="preserve">00 ч. 00 мин. - 07 ч. 00 мин.</c:v>
                </c:pt>
                <c:pt idx="1">
                  <c:v xml:space="preserve">07 ч. 00 мин. - 09 ч. 00 мин.</c:v>
                </c:pt>
                <c:pt idx="2">
                  <c:v xml:space="preserve">09 ч. 00 мин. - 12 ч. 00 мин.</c:v>
                </c:pt>
                <c:pt idx="3">
                  <c:v xml:space="preserve">12 ч. 00 мин. - 15 ч. 00 мин.</c:v>
                </c:pt>
                <c:pt idx="4">
                  <c:v xml:space="preserve">15 ч. 00 мин. - 18 ч. 00 мин.</c:v>
                </c:pt>
                <c:pt idx="5">
                  <c:v xml:space="preserve">18 ч. 00 мин. - 21 ч. 00 мин.</c:v>
                </c:pt>
                <c:pt idx="6">
                  <c:v xml:space="preserve"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Лист1!$A$2:$A$8</c:f>
              <c:strCache>
                <c:ptCount val="7"/>
                <c:pt idx="0">
                  <c:v xml:space="preserve">00 ч. 00 мин. - 07 ч. 00 мин.</c:v>
                </c:pt>
                <c:pt idx="1">
                  <c:v xml:space="preserve">07 ч. 00 мин. - 09 ч. 00 мин.</c:v>
                </c:pt>
                <c:pt idx="2">
                  <c:v xml:space="preserve">09 ч. 00 мин. - 12 ч. 00 мин.</c:v>
                </c:pt>
                <c:pt idx="3">
                  <c:v xml:space="preserve">12 ч. 00 мин. - 15 ч. 00 мин.</c:v>
                </c:pt>
                <c:pt idx="4">
                  <c:v xml:space="preserve">15 ч. 00 мин. - 18 ч. 00 мин.</c:v>
                </c:pt>
                <c:pt idx="5">
                  <c:v xml:space="preserve">18 ч. 00 мин. - 21 ч. 00 мин.</c:v>
                </c:pt>
                <c:pt idx="6">
                  <c:v xml:space="preserve"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219"/>
        <c:overlap val="-27"/>
        <c:axId val="258402304"/>
        <c:axId val="258401912"/>
      </c:barChart>
      <c:catAx>
        <c:axId val="25840230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58401912"/>
        <c:crosses val="autoZero"/>
        <c:auto val="1"/>
        <c:lblAlgn val="ctr"/>
        <c:lblOffset val="100"/>
        <c:tickLblSkip val="1"/>
        <c:noMultiLvlLbl val="0"/>
      </c:catAx>
      <c:valAx>
        <c:axId val="25840191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5840230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 bwMode="auto">
              <a:prstGeom prst="rect">
                <a:avLst/>
              </a:prstGeom>
              <a:solidFill>
                <a:srgbClr val="FFC000"/>
              </a:solidFill>
              <a:ln>
                <a:noFill/>
              </a:ln>
              <a:effectLst/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  <a:miter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219"/>
        <c:axId val="261539968"/>
        <c:axId val="198292608"/>
      </c:barChart>
      <c:catAx>
        <c:axId val="26153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8292608"/>
        <c:crosses val="autoZero"/>
        <c:auto val="1"/>
        <c:lblAlgn val="ctr"/>
        <c:lblOffset val="100"/>
        <c:noMultiLvlLbl val="0"/>
      </c:catAx>
      <c:valAx>
        <c:axId val="19829260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6153996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  <a:endParaRPr/>
          </a:p>
        </c:rich>
      </c:tx>
      <c:layout>
        <c:manualLayout>
          <c:xMode val="edge"/>
          <c:yMode val="edge"/>
          <c:x val="0.769742"/>
          <c:y val="0.004543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ДТП по видам</c:v>
                </c:pt>
              </c:strCache>
            </c:strRef>
          </c:tx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 bwMode="auto">
              <a:prstGeom prst="rect">
                <a:avLst/>
              </a:prstGeom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 bwMode="auto">
              <a:prstGeom prst="rect">
                <a:avLst/>
              </a:prstGeom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02955"/>
                  <c:y val="-0.105943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-0.078432"/>
                  <c:y val="-0.044377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layout>
                <c:manualLayout>
                  <c:x val="-0.158932"/>
                  <c:y val="-0.079966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-0.072305"/>
                  <c:y val="-0.00765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5"/>
              <c:layout>
                <c:manualLayout>
                  <c:x val="-0.064080"/>
                  <c:y val="-0.083248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7"/>
              <c:layout>
                <c:manualLayout>
                  <c:x val="0.089161"/>
                  <c:y val="-0.08995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9"/>
              <c:layout>
                <c:manualLayout>
                  <c:x val="0.205852"/>
                  <c:y val="-0.089931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 xml:space="preserve">Наезд на пешехода</c:v>
                </c:pt>
                <c:pt idx="2">
                  <c:v xml:space="preserve">Наезд на стоящее ТС</c:v>
                </c:pt>
                <c:pt idx="3">
                  <c:v xml:space="preserve">Съезд с дороги</c:v>
                </c:pt>
                <c:pt idx="4">
                  <c:v xml:space="preserve">Падение пассажира</c:v>
                </c:pt>
                <c:pt idx="5">
                  <c:v xml:space="preserve">Наезд на велосипедиста</c:v>
                </c:pt>
                <c:pt idx="6">
                  <c:v>Опрокидывание</c:v>
                </c:pt>
                <c:pt idx="7">
                  <c:v xml:space="preserve">Наезд на препятствие</c:v>
                </c:pt>
                <c:pt idx="8">
                  <c:v xml:space="preserve">Наезд на животное</c:v>
                </c:pt>
                <c:pt idx="9">
                  <c:v xml:space="preserve"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22</c:v>
                </c:pt>
                <c:pt idx="3">
                  <c:v>3</c:v>
                </c:pt>
                <c:pt idx="5">
                  <c:v>1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</a:t>
                    </a:r>
                    <a:endParaRPr/>
                  </a:p>
                </c:rich>
              </c:tx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26</a:t>
                    </a:r>
                    <a:endParaRPr/>
                  </a:p>
                </c:rich>
              </c:tx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16</a:t>
                    </a:r>
                    <a:endParaRPr/>
                  </a:p>
                </c:rich>
              </c:tx>
            </c:dLbl>
            <c:dLbl>
              <c:idx val="4"/>
              <c:layout>
                <c:manualLayout>
                  <c:x val="0.020749"/>
                  <c:y val="-0.02059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</a:t>
                    </a:r>
                    <a:endParaRPr/>
                  </a:p>
                </c:rich>
              </c:tx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1">
                  <c:v xml:space="preserve">Частного значения</c:v>
                </c:pt>
                <c:pt idx="2">
                  <c:v xml:space="preserve">Местного значения</c:v>
                </c:pt>
                <c:pt idx="3">
                  <c:v xml:space="preserve">Регионального значения</c:v>
                </c:pt>
                <c:pt idx="4">
                  <c:v xml:space="preserve"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dLblPos val="outEnd"/>
              <c:layout>
                <c:manualLayout>
                  <c:x val="0.018674"/>
                  <c:y val="-0.03088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0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>
                <c:manualLayout>
                  <c:x val="0.009322"/>
                  <c:y val="-0.02059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0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>
                <c:manualLayout>
                  <c:x val="0.029390"/>
                  <c:y val="-0.03088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4"/>
              <c:dLblPos val="outEnd"/>
              <c:layout>
                <c:manualLayout>
                  <c:x val="0.035273"/>
                  <c:y val="-0.07207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1">
                  <c:v xml:space="preserve">Частного значения</c:v>
                </c:pt>
                <c:pt idx="2">
                  <c:v xml:space="preserve">Местного значения</c:v>
                </c:pt>
                <c:pt idx="3">
                  <c:v xml:space="preserve">Регионального значения</c:v>
                </c:pt>
                <c:pt idx="4">
                  <c:v xml:space="preserve"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 xml:space="preserve">Частного значения</c:v>
                </c:pt>
                <c:pt idx="2">
                  <c:v xml:space="preserve">Местного значения</c:v>
                </c:pt>
                <c:pt idx="3">
                  <c:v xml:space="preserve">Регионального значения</c:v>
                </c:pt>
                <c:pt idx="4">
                  <c:v xml:space="preserve">Федерального значения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82"/>
        <c:axId val="256927088"/>
        <c:axId val="256927480"/>
      </c:barChart>
      <c:catAx>
        <c:axId val="256927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56927480"/>
        <c:crosses val="autoZero"/>
        <c:auto val="1"/>
        <c:lblAlgn val="ctr"/>
        <c:lblOffset val="100"/>
        <c:noMultiLvlLbl val="0"/>
      </c:catAx>
      <c:valAx>
        <c:axId val="256927480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5692708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 bwMode="auto">
              <a:prstGeom prst="rect">
                <a:avLst/>
              </a:prstGeom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  <a:bevel/>
              </a:ln>
              <a:effectLst/>
            </c:spPr>
          </c:dPt>
          <c:dLbls>
            <c:dLbl>
              <c:idx val="0"/>
              <c:layout>
                <c:manualLayout>
                  <c:x val="0.042463"/>
                  <c:y val="-0.079511"/>
                </c:manualLayout>
              </c:layout>
              <c:showBubbleSize val="0"/>
              <c:showCatName val="0"/>
              <c:showLegendKey val="0"/>
              <c:showPercent val="1"/>
              <c:showSerName val="0"/>
              <c:showVal val="0"/>
            </c:dLbl>
            <c:dLbl>
              <c:idx val="1"/>
              <c:layout>
                <c:manualLayout>
                  <c:x val="-0.065110"/>
                  <c:y val="0.024465"/>
                </c:manualLayout>
              </c:layout>
              <c:showBubbleSize val="0"/>
              <c:showCatName val="0"/>
              <c:showLegendKey val="0"/>
              <c:showPercent val="1"/>
              <c:showSerName val="0"/>
              <c:showVal val="0"/>
            </c:dLbl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Перевозились с нарушением ПДД РФ</c:v>
                </c:pt>
                <c:pt idx="1">
                  <c:v xml:space="preserve"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1"/>
          <c:showSerName val="0"/>
          <c:showVal val="0"/>
        </c:dLbls>
        <c:firstSliceAng val="0"/>
        <c:holeSize val="75"/>
      </c:doughnutChart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  <a:endParaRPr/>
          </a:p>
        </c:rich>
      </c:tx>
      <c:layout>
        <c:manualLayout>
          <c:xMode val="edge"/>
          <c:yMode val="edge"/>
          <c:x val="0.079456"/>
          <c:y val="0.005955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ДТП по категориям участников</c:v>
                </c:pt>
              </c:strCache>
            </c:strRef>
          </c:tx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68725"/>
                  <c:y val="-0.00509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-0.097457"/>
                  <c:y val="-0.046030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-0.024411"/>
                  <c:y val="-0.020933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0.215806"/>
                  <c:y val="-0.061418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 xml:space="preserve"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Марина Скутина</cp:lastModifiedBy>
  <cp:revision>7</cp:revision>
  <dcterms:created xsi:type="dcterms:W3CDTF">2025-03-13T06:38:00Z</dcterms:created>
  <dcterms:modified xsi:type="dcterms:W3CDTF">2026-01-27T05:10:11Z</dcterms:modified>
</cp:coreProperties>
</file>